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46" w:rsidRPr="00C10A88" w:rsidRDefault="00C80B46" w:rsidP="009A1595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МИКРОУДОБРЕНИЯ</w:t>
      </w:r>
    </w:p>
    <w:p w:rsidR="00C80B46" w:rsidRDefault="00C80B46" w:rsidP="004202D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C80B46" w:rsidRDefault="00C80B46" w:rsidP="00C10A88">
      <w:pPr>
        <w:pStyle w:val="a8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7A4037">
        <w:rPr>
          <w:rFonts w:ascii="Times New Roman" w:hAnsi="Times New Roman"/>
          <w:sz w:val="24"/>
          <w:szCs w:val="24"/>
        </w:rPr>
        <w:t>:</w:t>
      </w:r>
      <w:bookmarkStart w:id="0" w:name="_Toc68925299"/>
    </w:p>
    <w:p w:rsidR="00C80B46" w:rsidRDefault="00C80B46" w:rsidP="004202D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1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Pr="00B65B8D">
        <w:rPr>
          <w:rFonts w:ascii="Times New Roman" w:hAnsi="Times New Roman"/>
          <w:sz w:val="24"/>
          <w:szCs w:val="24"/>
        </w:rPr>
        <w:t>Значение микроэлементов для растений, необходимость их применения.</w:t>
      </w:r>
    </w:p>
    <w:p w:rsidR="00C80B46" w:rsidRPr="00B65B8D" w:rsidRDefault="00C80B46" w:rsidP="00C10A88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924E6">
        <w:rPr>
          <w:rFonts w:ascii="Times New Roman" w:hAnsi="Times New Roman"/>
          <w:sz w:val="24"/>
          <w:szCs w:val="24"/>
        </w:rPr>
        <w:t xml:space="preserve">2. </w:t>
      </w:r>
      <w:r w:rsidRPr="00B65B8D">
        <w:rPr>
          <w:rFonts w:ascii="Times New Roman" w:hAnsi="Times New Roman"/>
          <w:sz w:val="24"/>
          <w:szCs w:val="24"/>
        </w:rPr>
        <w:t>Для основных микроэлементов (бор, медь, цинк, марганец, молибден, кобальт)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65B8D">
        <w:rPr>
          <w:rFonts w:ascii="Times New Roman" w:hAnsi="Times New Roman"/>
          <w:sz w:val="24"/>
          <w:szCs w:val="24"/>
        </w:rPr>
        <w:t>роль в питании растений и повышение устойчивости к болезням;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8D">
        <w:rPr>
          <w:rFonts w:ascii="Times New Roman" w:hAnsi="Times New Roman"/>
          <w:sz w:val="24"/>
          <w:szCs w:val="24"/>
        </w:rPr>
        <w:t>содержание в почвах;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8D">
        <w:rPr>
          <w:rFonts w:ascii="Times New Roman" w:hAnsi="Times New Roman"/>
          <w:sz w:val="24"/>
          <w:szCs w:val="24"/>
        </w:rPr>
        <w:t>основные микроудобрения;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8D">
        <w:rPr>
          <w:rFonts w:ascii="Times New Roman" w:hAnsi="Times New Roman"/>
          <w:sz w:val="24"/>
          <w:szCs w:val="24"/>
        </w:rPr>
        <w:t>применение  в связи с почвенными условиями и биологическими особенностями растений.</w:t>
      </w:r>
    </w:p>
    <w:p w:rsidR="00C80B46" w:rsidRPr="009924E6" w:rsidRDefault="00C80B46" w:rsidP="00453CCC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C80B46" w:rsidRPr="009924E6" w:rsidRDefault="00C80B46" w:rsidP="009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b/>
          <w:sz w:val="24"/>
          <w:szCs w:val="24"/>
        </w:rPr>
        <w:t>1</w:t>
      </w:r>
      <w:r w:rsidRPr="00B65B8D">
        <w:rPr>
          <w:rFonts w:ascii="Times New Roman" w:hAnsi="Times New Roman"/>
          <w:b/>
          <w:sz w:val="24"/>
          <w:szCs w:val="24"/>
        </w:rPr>
        <w:t>. Значение микроэлементов для растений, необходимость их применения.</w:t>
      </w:r>
      <w:r w:rsidRPr="007A4037">
        <w:rPr>
          <w:rFonts w:ascii="Times New Roman" w:hAnsi="Times New Roman"/>
          <w:b/>
          <w:sz w:val="24"/>
          <w:szCs w:val="24"/>
        </w:rPr>
        <w:t xml:space="preserve"> 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Микроэлементы – это необходимые элементы питания, находящиеся в растениях в тысячных-стотысячных долях процентов и выполняющие важные функции в процессах жизнедеятельности. Микроэлементы принимают участие во многих физиологических и биохимических процессах, являются обязательной частью многих ферментов, витаминов, ростовых веществ, поэтому недостаток того или иного из них отрицательно сказывается на величине урожая и его качестве. Влияют на поступление </w:t>
      </w:r>
      <w:proofErr w:type="gramStart"/>
      <w:r w:rsidRPr="00B65B8D">
        <w:rPr>
          <w:rFonts w:ascii="Times New Roman" w:hAnsi="Times New Roman"/>
          <w:sz w:val="24"/>
          <w:szCs w:val="24"/>
        </w:rPr>
        <w:t>N</w:t>
      </w:r>
      <w:proofErr w:type="gramEnd"/>
      <w:r w:rsidRPr="00B65B8D">
        <w:rPr>
          <w:rFonts w:ascii="Times New Roman" w:hAnsi="Times New Roman"/>
          <w:sz w:val="24"/>
          <w:szCs w:val="24"/>
        </w:rPr>
        <w:t>РК. Какие же предпосылки применения микроэлементов?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Недостаток микроэлементов вызывает ряд болезней растений и нередко приводит к гибели. Применение соответствующих микроудобрений не только устраняет возможность болезней, но и обеспечивает получение более высокого урожая лучшего качества.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Применение высоких доз азотных, фосфорных и калийных удобрений часто не дает ожидаемых прибавок урожая из-за недостатка в почве микроэлементов.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Систематическое применение минеральных удобрений, увеличивая вынос основных элементов питания, приводит постепенно к снижению содержания микроэлементов в почве.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При современных технологиях имеется возможность совмещения применения микроэлементов с другими обязательными агротехническими приемами – предпосевным протравливанием семян, применением гербицидов и фунгицидов, некорневых подкормок минеральными удобрениями, то есть дополнительные затраты будут практически равняться стоимости микроудобрений.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Главными критериями степени обеспеченности растений микроэлементами является наличие подвижных форм микроэлементов. К сожалению содержание в подвижной форме чаще всего составляет </w:t>
      </w:r>
      <w:proofErr w:type="spellStart"/>
      <w:r w:rsidRPr="00B65B8D">
        <w:rPr>
          <w:rFonts w:ascii="Times New Roman" w:hAnsi="Times New Roman"/>
          <w:sz w:val="24"/>
          <w:szCs w:val="24"/>
        </w:rPr>
        <w:t>Сu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Mo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Co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 - 10 – 15 % их валового содержания в почве и для</w:t>
      </w:r>
      <w:proofErr w:type="gramStart"/>
      <w:r w:rsidRPr="00B65B8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65B8D">
        <w:rPr>
          <w:rFonts w:ascii="Times New Roman" w:hAnsi="Times New Roman"/>
          <w:sz w:val="24"/>
          <w:szCs w:val="24"/>
        </w:rPr>
        <w:t xml:space="preserve"> – 2 – 4 % и зависит от типа почвы, характера материнской породы, растительности и микробиологической активности почвы.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При нарушении питания растений микроэлементами происходит снижение поступления основных элементов питания, в частности NН4 – NО3 азота.</w:t>
      </w:r>
    </w:p>
    <w:p w:rsidR="00C80B46" w:rsidRPr="00B65B8D" w:rsidRDefault="00C80B46" w:rsidP="00B65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При насыщенности </w:t>
      </w:r>
      <w:smartTag w:uri="urn:schemas-microsoft-com:office:smarttags" w:element="metricconverter">
        <w:smartTagPr>
          <w:attr w:name="ProductID" w:val="1 га"/>
        </w:smartTagPr>
        <w:r w:rsidRPr="00B65B8D">
          <w:rPr>
            <w:rFonts w:ascii="Times New Roman" w:hAnsi="Times New Roman"/>
            <w:sz w:val="24"/>
            <w:szCs w:val="24"/>
          </w:rPr>
          <w:t>1 га</w:t>
        </w:r>
      </w:smartTag>
      <w:r w:rsidRPr="00B65B8D">
        <w:rPr>
          <w:rFonts w:ascii="Times New Roman" w:hAnsi="Times New Roman"/>
          <w:sz w:val="24"/>
          <w:szCs w:val="24"/>
        </w:rPr>
        <w:t xml:space="preserve"> севооборота 5 т навоза культуры практически полностью обеспечиваются всеми микроэлементами.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b/>
          <w:sz w:val="24"/>
          <w:szCs w:val="24"/>
        </w:rPr>
      </w:pPr>
      <w:r w:rsidRPr="009924E6">
        <w:rPr>
          <w:rFonts w:ascii="Times New Roman" w:hAnsi="Times New Roman"/>
          <w:b/>
          <w:sz w:val="24"/>
          <w:szCs w:val="24"/>
        </w:rPr>
        <w:t xml:space="preserve">2. </w:t>
      </w:r>
      <w:r w:rsidRPr="00B65B8D">
        <w:rPr>
          <w:rFonts w:ascii="Times New Roman" w:hAnsi="Times New Roman"/>
          <w:b/>
          <w:sz w:val="24"/>
          <w:szCs w:val="24"/>
        </w:rPr>
        <w:t>Для основных микроэлементов (бор, медь, цинк, марганец, молибден, кобальт) - роль в питании растений и повышение устойчивости к болезням; содержание в почвах; основные микроудобрения; применение  в связи с почвенными условиями и биологическими особенностями растений.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К основным микроэлементам, применяемым в сельском хозяйстве относятся В, </w:t>
      </w:r>
      <w:proofErr w:type="spellStart"/>
      <w:r w:rsidRPr="00B65B8D">
        <w:rPr>
          <w:rFonts w:ascii="Times New Roman" w:hAnsi="Times New Roman"/>
          <w:sz w:val="24"/>
          <w:szCs w:val="24"/>
        </w:rPr>
        <w:t>Мn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Mo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Co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5B8D">
        <w:rPr>
          <w:rFonts w:ascii="Times New Roman" w:hAnsi="Times New Roman"/>
          <w:sz w:val="24"/>
          <w:szCs w:val="24"/>
        </w:rPr>
        <w:t>Cu</w:t>
      </w:r>
      <w:proofErr w:type="spellEnd"/>
      <w:r w:rsidRPr="00B65B8D">
        <w:rPr>
          <w:rFonts w:ascii="Times New Roman" w:hAnsi="Times New Roman"/>
          <w:sz w:val="24"/>
          <w:szCs w:val="24"/>
        </w:rPr>
        <w:t>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1" w:name="_GoBack"/>
      <w:r w:rsidRPr="004C4E71">
        <w:rPr>
          <w:rFonts w:ascii="Times New Roman" w:hAnsi="Times New Roman"/>
          <w:sz w:val="24"/>
          <w:szCs w:val="24"/>
          <w:u w:val="single"/>
        </w:rPr>
        <w:t>Бор.</w:t>
      </w:r>
      <w:r w:rsidRPr="00B65B8D">
        <w:rPr>
          <w:rFonts w:ascii="Times New Roman" w:hAnsi="Times New Roman"/>
          <w:sz w:val="24"/>
          <w:szCs w:val="24"/>
        </w:rPr>
        <w:t xml:space="preserve">  </w:t>
      </w:r>
      <w:bookmarkEnd w:id="1"/>
      <w:r w:rsidRPr="00B65B8D">
        <w:rPr>
          <w:rFonts w:ascii="Times New Roman" w:hAnsi="Times New Roman"/>
          <w:sz w:val="24"/>
          <w:szCs w:val="24"/>
        </w:rPr>
        <w:t xml:space="preserve">При отсутствии ничтожных количеств этого элемента в доступном для растений состоянии в  почве ни одна культура не заканчивает своего развития, т.е. не образует семян, потому что бор усиливает рост пыльцевых трубок, прорастание пыльцы, увеличивает количество цветков и плодов и тем самым обеспечивает процесс оплодотворения у цветовых. Среди физиологических функций бора отмечены: участие в кислородном дыхании тканей и транспорте углеводов из пластин, предотвращение отмирание точки роста и </w:t>
      </w:r>
      <w:proofErr w:type="spellStart"/>
      <w:r w:rsidRPr="00B65B8D">
        <w:rPr>
          <w:rFonts w:ascii="Times New Roman" w:hAnsi="Times New Roman"/>
          <w:sz w:val="24"/>
          <w:szCs w:val="24"/>
        </w:rPr>
        <w:t>желтение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листьев у отдельных культур, нарушение анатомического строения растений, регулирует синтез азотистых веществ нуклеиновый обмен, повышает содержание </w:t>
      </w:r>
      <w:proofErr w:type="spellStart"/>
      <w:r w:rsidRPr="00B65B8D">
        <w:rPr>
          <w:rFonts w:ascii="Times New Roman" w:hAnsi="Times New Roman"/>
          <w:sz w:val="24"/>
          <w:szCs w:val="24"/>
        </w:rPr>
        <w:t>хлорофила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в листьях, положительно влияет на активность ферментов.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Бор необходим растениям в течение всей их жизни. Он не может </w:t>
      </w:r>
      <w:proofErr w:type="spellStart"/>
      <w:r w:rsidRPr="00B65B8D">
        <w:rPr>
          <w:rFonts w:ascii="Times New Roman" w:hAnsi="Times New Roman"/>
          <w:sz w:val="24"/>
          <w:szCs w:val="24"/>
        </w:rPr>
        <w:t>реутилизироваться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в растениях, поэтому при его недостатке страдают прежде всего молодые растущих органы.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Содержание бора в растениях колеблется от 2 до 60 мг на кг сухого вещества. Особенно чувствительны к недостатку бора – подсолнечник, кормовые корнеплоды, сахарная свекла, люцерна, рис, овощные и ягодные культуры.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Симптомы борного голодания разнообразны, однако имеется ряд общих признаков: остановка роста корня и стебля, хлороз верхушечной части роста, за </w:t>
      </w:r>
      <w:proofErr w:type="spellStart"/>
      <w:r w:rsidRPr="00B65B8D">
        <w:rPr>
          <w:rFonts w:ascii="Times New Roman" w:hAnsi="Times New Roman"/>
          <w:sz w:val="24"/>
          <w:szCs w:val="24"/>
        </w:rPr>
        <w:t>погорым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следует ее отмирание. Растение </w:t>
      </w:r>
      <w:r w:rsidRPr="00B65B8D">
        <w:rPr>
          <w:rFonts w:ascii="Times New Roman" w:hAnsi="Times New Roman"/>
          <w:sz w:val="24"/>
          <w:szCs w:val="24"/>
        </w:rPr>
        <w:lastRenderedPageBreak/>
        <w:t>сильно кустится, но вновь образовавшиеся побеги вскоре также приостанавливаются в росте.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Бор повышает устойчивость их к различным заболеваниям: бактериозу, сухой гнили, дуплистости, усыханию верхушек, гнили сердечка и порче корнеплодов, пожелтение у люцерны, отмирание точек роста, белой и серой гнили у подсолнечника.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Черноземы Юга России отличаются низким содержанием бора и при выносе со средним урожаем с.-х. культур (30 – 150 г/га) растения не находят нужного количества в почвенном растворе. Они нормально растут при содержании бора 0,5 – 1,0 мг/кг почвы в водорастворимом состоянии.  Во всех типах и подтипах черноземных и каштановых почв содержание бора колеблется в пределах 1,3 – 6,8 мг/кг почвы и они характеризуются как </w:t>
      </w:r>
      <w:proofErr w:type="spellStart"/>
      <w:r w:rsidRPr="00B65B8D">
        <w:rPr>
          <w:rFonts w:ascii="Times New Roman" w:hAnsi="Times New Roman"/>
          <w:sz w:val="24"/>
          <w:szCs w:val="24"/>
        </w:rPr>
        <w:t>низкообеспеченные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этим элементом питания для всех с.-х. культур. На поглощение бора существенно влияют: рН среды (с увеличением рН поглощение снижается), температура (больше 28°), засухи. Среди источников пополняющим содержание бора в почве можно назвать органические удобрения, печную золу, некоторые калийные удобрения.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Борные удобрения могут быть использованы для внесения в почву, для предпосевной обработки семян и для некорневых подкормок. Для внесения в почву широко применяют: гранулированный </w:t>
      </w:r>
      <w:proofErr w:type="spellStart"/>
      <w:r w:rsidRPr="00B65B8D">
        <w:rPr>
          <w:rFonts w:ascii="Times New Roman" w:hAnsi="Times New Roman"/>
          <w:sz w:val="24"/>
          <w:szCs w:val="24"/>
        </w:rPr>
        <w:t>боросуперфосфат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светло-серые гранулы (18,5 – 19 % Р2О5 и 1,5 % Н3ВО3) и </w:t>
      </w:r>
      <w:proofErr w:type="spellStart"/>
      <w:r w:rsidRPr="00B65B8D">
        <w:rPr>
          <w:rFonts w:ascii="Times New Roman" w:hAnsi="Times New Roman"/>
          <w:sz w:val="24"/>
          <w:szCs w:val="24"/>
        </w:rPr>
        <w:t>боромагниевые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удобрения -  рассыпчатый порошок светло-серого цвета (13 % Н3ВО3 и 20 % окиси магния). Доза внесения 3 – 3,5 ц/га, и при рядковом – 0,8 ц/га.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Обработку семян перед посевом проводят 0,05 % раствором борной кислоты в сочетании с протравливанием их ядохимикатами. Внекорневую подкормку в период вегетации проводят борной кислотой из расчета 100 – 200 г/га. Сахарную  свеклу подкармливают в период хорошо развитой ботвы, кукурузу – в фазу выметывания метелок, горох – в период </w:t>
      </w:r>
      <w:proofErr w:type="spellStart"/>
      <w:r w:rsidRPr="00B65B8D">
        <w:rPr>
          <w:rFonts w:ascii="Times New Roman" w:hAnsi="Times New Roman"/>
          <w:sz w:val="24"/>
          <w:szCs w:val="24"/>
        </w:rPr>
        <w:t>бутонизации</w:t>
      </w:r>
      <w:proofErr w:type="spellEnd"/>
      <w:r w:rsidRPr="00B65B8D">
        <w:rPr>
          <w:rFonts w:ascii="Times New Roman" w:hAnsi="Times New Roman"/>
          <w:sz w:val="24"/>
          <w:szCs w:val="24"/>
        </w:rPr>
        <w:t>, подсолнечник – во время образования корзинок.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Борные удобрения значительно повышают урожайность и качество продукции – </w:t>
      </w:r>
      <w:proofErr w:type="spellStart"/>
      <w:r w:rsidRPr="00B65B8D">
        <w:rPr>
          <w:rFonts w:ascii="Times New Roman" w:hAnsi="Times New Roman"/>
          <w:sz w:val="24"/>
          <w:szCs w:val="24"/>
        </w:rPr>
        <w:t>сах</w:t>
      </w:r>
      <w:proofErr w:type="spellEnd"/>
      <w:r w:rsidRPr="00B65B8D">
        <w:rPr>
          <w:rFonts w:ascii="Times New Roman" w:hAnsi="Times New Roman"/>
          <w:sz w:val="24"/>
          <w:szCs w:val="24"/>
        </w:rPr>
        <w:t>. Свеклу – на 25 – 50 ц/га, кукурузу – на 4,7 – 6,1 ц/га, подсолнечника – 1,1 – 2,8 ц/га.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4C4E71">
        <w:rPr>
          <w:rFonts w:ascii="Times New Roman" w:hAnsi="Times New Roman"/>
          <w:sz w:val="24"/>
          <w:szCs w:val="24"/>
          <w:u w:val="single"/>
        </w:rPr>
        <w:t>Медь</w:t>
      </w:r>
      <w:r w:rsidRPr="00B65B8D">
        <w:rPr>
          <w:rFonts w:ascii="Times New Roman" w:hAnsi="Times New Roman"/>
          <w:sz w:val="24"/>
          <w:szCs w:val="24"/>
        </w:rPr>
        <w:t xml:space="preserve">. Несмотря на незначительное содержание </w:t>
      </w:r>
      <w:proofErr w:type="spellStart"/>
      <w:r w:rsidRPr="00B65B8D">
        <w:rPr>
          <w:rFonts w:ascii="Times New Roman" w:hAnsi="Times New Roman"/>
          <w:sz w:val="24"/>
          <w:szCs w:val="24"/>
        </w:rPr>
        <w:t>Сu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(около 0,002 %) и небольшой вынос различными растениями порядка 7 – 327 г/га в зависимости от видовых особенностей с.-х. культур элемент играет важную роль в питании растений. 70 % всей меди в листьях сконцентрировано в хлоропластах. Выполняет ряд функций в азотном обмене, повышает устойчивость растений к полеганию, способствует увеличению засухоустойчивости, </w:t>
      </w:r>
      <w:proofErr w:type="spellStart"/>
      <w:r w:rsidRPr="00B65B8D">
        <w:rPr>
          <w:rFonts w:ascii="Times New Roman" w:hAnsi="Times New Roman"/>
          <w:sz w:val="24"/>
          <w:szCs w:val="24"/>
        </w:rPr>
        <w:t>морозо</w:t>
      </w:r>
      <w:proofErr w:type="spellEnd"/>
      <w:r w:rsidRPr="00B65B8D">
        <w:rPr>
          <w:rFonts w:ascii="Times New Roman" w:hAnsi="Times New Roman"/>
          <w:sz w:val="24"/>
          <w:szCs w:val="24"/>
        </w:rPr>
        <w:t>- и жароустойчивости растений. Медь активизирует деятельность витаминов группы В, влияет на белковый углеводный обмен, повышает энергию фотосинтеза,  дыхание растений и их устойчивость к грибным заболеваниям – злаковых головней и ржавчиной, картофеля – к фитофторозу, увеличивает активность защитной реакции Недостаток меди приводит к исключительно резкому снижению урожайности зерна озимой пшеницы и исключает получение сильного зерна озимой пшеницы. Медь способствует формированию клубеньков на корнях бобовых.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Недостаток меди вызывает задержку роста, хлороз, потерю  тургора и увядания растений, задержку цветения и гибель урожая. У злаковых растений при остром дефиците меди происходит </w:t>
      </w:r>
      <w:proofErr w:type="spellStart"/>
      <w:r w:rsidRPr="00B65B8D">
        <w:rPr>
          <w:rFonts w:ascii="Times New Roman" w:hAnsi="Times New Roman"/>
          <w:sz w:val="24"/>
          <w:szCs w:val="24"/>
        </w:rPr>
        <w:t>побеление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кончиков листьев и не развивается колос (белая чума), у плодовых при недостатке меди появляется </w:t>
      </w:r>
      <w:proofErr w:type="spellStart"/>
      <w:r w:rsidRPr="00B65B8D">
        <w:rPr>
          <w:rFonts w:ascii="Times New Roman" w:hAnsi="Times New Roman"/>
          <w:sz w:val="24"/>
          <w:szCs w:val="24"/>
        </w:rPr>
        <w:t>суховершинность</w:t>
      </w:r>
      <w:proofErr w:type="spellEnd"/>
      <w:r w:rsidRPr="00B65B8D">
        <w:rPr>
          <w:rFonts w:ascii="Times New Roman" w:hAnsi="Times New Roman"/>
          <w:sz w:val="24"/>
          <w:szCs w:val="24"/>
        </w:rPr>
        <w:t>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Особенно чувствительны к недостатку меди злаковые культуры зернобобовые, кукуруза, многолетние травы, овощные и технические. Содержание меди в растениях составляет 1,5 – 26 мг/кг сухого вещества.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Содержание подвижной меди в почвах колеблется от 0,05 до 14 мг/кг почвы. Доступными формами меди является ее водорастворимые соединения </w:t>
      </w:r>
      <w:proofErr w:type="spellStart"/>
      <w:r w:rsidRPr="00B65B8D">
        <w:rPr>
          <w:rFonts w:ascii="Times New Roman" w:hAnsi="Times New Roman"/>
          <w:sz w:val="24"/>
          <w:szCs w:val="24"/>
        </w:rPr>
        <w:t>инаходящиеся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в обменном состоянии, эта часть ее не превышает 1 – 10 % от общего наличия. На черноземах юга России растения испытывают недостаток меди при содержании менее 2 – 5 мг/кг почвы, на почвах каштанового комплекса – менее 1,5 – 4,0 мг/кг почвы. На доступность меди оказывают влияние рН почвенного раствора, содержание кальция. При рН 7,0 или выше свободной Сu2+ в почвенном растворе ничтожно мало. При нарушенных соотношениях в почве между </w:t>
      </w:r>
      <w:proofErr w:type="spellStart"/>
      <w:r w:rsidRPr="00B65B8D">
        <w:rPr>
          <w:rFonts w:ascii="Times New Roman" w:hAnsi="Times New Roman"/>
          <w:sz w:val="24"/>
          <w:szCs w:val="24"/>
        </w:rPr>
        <w:t>Cu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5B8D">
        <w:rPr>
          <w:rFonts w:ascii="Times New Roman" w:hAnsi="Times New Roman"/>
          <w:sz w:val="24"/>
          <w:szCs w:val="24"/>
        </w:rPr>
        <w:t>Fe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Mo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возникает </w:t>
      </w:r>
      <w:proofErr w:type="spellStart"/>
      <w:r w:rsidRPr="00B65B8D">
        <w:rPr>
          <w:rFonts w:ascii="Times New Roman" w:hAnsi="Times New Roman"/>
          <w:sz w:val="24"/>
          <w:szCs w:val="24"/>
        </w:rPr>
        <w:t>антогонизм</w:t>
      </w:r>
      <w:proofErr w:type="spellEnd"/>
      <w:r w:rsidRPr="00B65B8D">
        <w:rPr>
          <w:rFonts w:ascii="Times New Roman" w:hAnsi="Times New Roman"/>
          <w:sz w:val="24"/>
          <w:szCs w:val="24"/>
        </w:rPr>
        <w:t>, нарушающий поглощение корнями элементов питания.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При внесении медных удобрений урожай пшеницы повышается на 2 – 5 ц/га, ячменя – на 2 – 3   ц/га, овса – на – 4 – 6 ц/га, зеленой массы кукурузы – на 21 %, а початков – на 9 – 13 %. Значительно повышается урожайность подсолнечника сахарной свеклы, гороха, овощных и плодово-ягодных культур.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Медные удобрения можно вносить в почву, использовать для обработки семян и внекорневых подкормок. Для внесения в почву можно использовать пиритные огарки (5 – 6 ц/га) – рассыпчатый </w:t>
      </w:r>
      <w:r w:rsidRPr="00B65B8D">
        <w:rPr>
          <w:rFonts w:ascii="Times New Roman" w:hAnsi="Times New Roman"/>
          <w:sz w:val="24"/>
          <w:szCs w:val="24"/>
        </w:rPr>
        <w:lastRenderedPageBreak/>
        <w:t xml:space="preserve">порошок красно-коричневого цвета (0,2 – 0,7 % </w:t>
      </w:r>
      <w:proofErr w:type="spellStart"/>
      <w:r w:rsidRPr="00B65B8D">
        <w:rPr>
          <w:rFonts w:ascii="Times New Roman" w:hAnsi="Times New Roman"/>
          <w:sz w:val="24"/>
          <w:szCs w:val="24"/>
        </w:rPr>
        <w:t>Cu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), шлаки </w:t>
      </w:r>
      <w:proofErr w:type="spellStart"/>
      <w:r w:rsidRPr="00B65B8D">
        <w:rPr>
          <w:rFonts w:ascii="Times New Roman" w:hAnsi="Times New Roman"/>
          <w:sz w:val="24"/>
          <w:szCs w:val="24"/>
        </w:rPr>
        <w:t>медеплавительных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заводов (0,2 – 0,5 % </w:t>
      </w:r>
      <w:proofErr w:type="spellStart"/>
      <w:r w:rsidRPr="00B65B8D">
        <w:rPr>
          <w:rFonts w:ascii="Times New Roman" w:hAnsi="Times New Roman"/>
          <w:sz w:val="24"/>
          <w:szCs w:val="24"/>
        </w:rPr>
        <w:t>Cu</w:t>
      </w:r>
      <w:proofErr w:type="spellEnd"/>
      <w:r w:rsidRPr="00B65B8D">
        <w:rPr>
          <w:rFonts w:ascii="Times New Roman" w:hAnsi="Times New Roman"/>
          <w:sz w:val="24"/>
          <w:szCs w:val="24"/>
        </w:rPr>
        <w:t>).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Семена обрабатывают методом опрыскивается (0,02 – 0,1 %) или опудриванием (100 – 200 г/ц семян медным купоросом (25,4 % </w:t>
      </w:r>
      <w:proofErr w:type="spellStart"/>
      <w:r w:rsidRPr="00B65B8D">
        <w:rPr>
          <w:rFonts w:ascii="Times New Roman" w:hAnsi="Times New Roman"/>
          <w:sz w:val="24"/>
          <w:szCs w:val="24"/>
        </w:rPr>
        <w:t>Cu</w:t>
      </w:r>
      <w:proofErr w:type="spellEnd"/>
      <w:r w:rsidRPr="00B65B8D">
        <w:rPr>
          <w:rFonts w:ascii="Times New Roman" w:hAnsi="Times New Roman"/>
          <w:sz w:val="24"/>
          <w:szCs w:val="24"/>
        </w:rPr>
        <w:t>) обычно совмещают с протравливанием семян.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При внекорневых подкормках берут 200 – 300 г CuSO4 на 100 л воды или 300 – 400 л при наземном опрыскивании на пропашных культур проводят в ранние периоды развития растений, но при достаточно развитой листовой поверхности.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4C4E71">
        <w:rPr>
          <w:rFonts w:ascii="Times New Roman" w:hAnsi="Times New Roman"/>
          <w:sz w:val="24"/>
          <w:szCs w:val="24"/>
          <w:u w:val="single"/>
        </w:rPr>
        <w:t>Марганец.</w:t>
      </w:r>
      <w:r w:rsidRPr="00B65B8D">
        <w:rPr>
          <w:rFonts w:ascii="Times New Roman" w:hAnsi="Times New Roman"/>
          <w:sz w:val="24"/>
          <w:szCs w:val="24"/>
        </w:rPr>
        <w:t xml:space="preserve">  Играет важную роль по поддержанию в клетках растений необходимых </w:t>
      </w:r>
      <w:proofErr w:type="spellStart"/>
      <w:r w:rsidRPr="00B65B8D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-восстановительных процессов. Марганец способствует избирательному поглощению ионов из внешней среды, влияние на транспорт фосфора из стареющих листьев в молодые. Среднее содержание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в растениях 10 мг/кг массы и сосредоточено в основном в листьях и хлоропластах. Участвует в реакциях биологического окисления, в фотосинтезе, увеличивает содержание сахаров, хлорофилла, прочность его связи с белком, улучшает отток сахаров, усиливает интенсивность дыхания.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Марганец положительно влияет на плодоношение растений, на передвижение фосфора к репродуктивным органам, повышает водоудерживающую способность тканей, снижает транспирацию.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При остром недостатке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отмечены случаи полного отсутствия плодоношение у капустных, томатов, гороха и других культур. В растения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поступает в относительно больших количествах, чем другие микроэлементы (8 – 325 мг/кг сухого вещества).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При недостатке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на молодых листьях появляются </w:t>
      </w:r>
      <w:proofErr w:type="spellStart"/>
      <w:r w:rsidRPr="00B65B8D">
        <w:rPr>
          <w:rFonts w:ascii="Times New Roman" w:hAnsi="Times New Roman"/>
          <w:sz w:val="24"/>
          <w:szCs w:val="24"/>
        </w:rPr>
        <w:t>хлоротичные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пятна, края листьев загибаются кверху, потом буреют и ткань отмирает. Особенно чувствительным к недостатку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зерновые (овес), корнеплоды, картофель, овощные и  технические культуры.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ускоряет развитие растений, препятствует проявлению хлороза, серой пятнистости злаков, пятнистой желтухи сахарной свеклы, повышает устойчивость картофеля к фитофторозу, мозаики томата, </w:t>
      </w:r>
      <w:proofErr w:type="spellStart"/>
      <w:r w:rsidRPr="00B65B8D">
        <w:rPr>
          <w:rFonts w:ascii="Times New Roman" w:hAnsi="Times New Roman"/>
          <w:sz w:val="24"/>
          <w:szCs w:val="24"/>
        </w:rPr>
        <w:t>фурца</w:t>
      </w:r>
      <w:proofErr w:type="spellEnd"/>
      <w:r w:rsidRPr="00B65B8D">
        <w:rPr>
          <w:rFonts w:ascii="Times New Roman" w:hAnsi="Times New Roman"/>
          <w:sz w:val="24"/>
          <w:szCs w:val="24"/>
        </w:rPr>
        <w:t>; хлебных злаков и головневым грибом способен вызывать распад мицелия грибов в тканях растений.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Чернозем Юга России отличаются очень низким содержанием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(0,03 – 0,1 %) при значительном поглощении его культурными растениями. На почвах с нейтральной и щелочной реакцией (рН 6 – 8) происходит угнетение с.-х. культур из-за недостатка доступных форм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, т.к. его содержание не более 10 % от валового содержания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поглощается в виде Mn2+. Его содержание в почвах составляет 8 – 27 мг/кг почвы, что соответствует средней обеспеченности для большинства с.-х. культур.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На содержание в почве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оказывает влияние рН почвенной среды – более 8 оказывает угнетающее влияние на поступление его в растение как и при высоких температурах.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удобрения увеличивают урожай зерна озимой пшеницы на 1,5 – 7 ц/га, сахарной свеклы – на 10 – 15,7 ц/га. наряду с повышением урожайности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удобрения наряду с повышением урожайности способствуют улучшению качества получаемой продукции, повышают содержание белка, сахаров, клейковины, жиров и витаминов.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В качестве  удобрений используют: MnSO4 – мелкокристаллическая соль (32,5 %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>),</w:t>
      </w:r>
      <w:proofErr w:type="spellStart"/>
      <w:r w:rsidRPr="00B65B8D">
        <w:rPr>
          <w:rFonts w:ascii="Times New Roman" w:hAnsi="Times New Roman"/>
          <w:sz w:val="24"/>
          <w:szCs w:val="24"/>
        </w:rPr>
        <w:t>марганизированный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суперфосфат, гранулы светло-серого цвета (Р2О5 – 18,7 – 19,2 % и 1,5 – 2 % Mn2+; </w:t>
      </w:r>
      <w:proofErr w:type="spellStart"/>
      <w:r w:rsidRPr="00B65B8D">
        <w:rPr>
          <w:rFonts w:ascii="Times New Roman" w:hAnsi="Times New Roman"/>
          <w:sz w:val="24"/>
          <w:szCs w:val="24"/>
        </w:rPr>
        <w:t>марганизированная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нитрофоска (0,9 % </w:t>
      </w:r>
      <w:proofErr w:type="spellStart"/>
      <w:r w:rsidRPr="00B65B8D">
        <w:rPr>
          <w:rFonts w:ascii="Times New Roman" w:hAnsi="Times New Roman"/>
          <w:sz w:val="24"/>
          <w:szCs w:val="24"/>
        </w:rPr>
        <w:t>Mn</w:t>
      </w:r>
      <w:proofErr w:type="spellEnd"/>
      <w:r w:rsidRPr="00B65B8D">
        <w:rPr>
          <w:rFonts w:ascii="Times New Roman" w:hAnsi="Times New Roman"/>
          <w:sz w:val="24"/>
          <w:szCs w:val="24"/>
        </w:rPr>
        <w:t>).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Под сахарную свеклу, зерновые, масличные и овощные применяют </w:t>
      </w:r>
      <w:proofErr w:type="spellStart"/>
      <w:r w:rsidRPr="00B65B8D">
        <w:rPr>
          <w:rFonts w:ascii="Times New Roman" w:hAnsi="Times New Roman"/>
          <w:sz w:val="24"/>
          <w:szCs w:val="24"/>
        </w:rPr>
        <w:t>марганизированный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суперфосфат – 2 – 3 ц/га под плуг или </w:t>
      </w:r>
      <w:proofErr w:type="spellStart"/>
      <w:r w:rsidRPr="00B65B8D">
        <w:rPr>
          <w:rFonts w:ascii="Times New Roman" w:hAnsi="Times New Roman"/>
          <w:sz w:val="24"/>
          <w:szCs w:val="24"/>
        </w:rPr>
        <w:t>допосевную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культивацию и 0,5 – 1,0 ц/га в рядки при посеве.  Предпосевная обработка семян методом опудривания: 50 г MnSO4 + 200 – 300 г талька. При опрыскивании семян – 50 г семян. При внекорневых подкормках расход сернокислого марганца 150 – 200 г/га.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4C4E71">
        <w:rPr>
          <w:rFonts w:ascii="Times New Roman" w:hAnsi="Times New Roman"/>
          <w:sz w:val="24"/>
          <w:szCs w:val="24"/>
          <w:u w:val="single"/>
        </w:rPr>
        <w:t>Цинк</w:t>
      </w:r>
      <w:r w:rsidRPr="00B65B8D">
        <w:rPr>
          <w:rFonts w:ascii="Times New Roman" w:hAnsi="Times New Roman"/>
          <w:sz w:val="24"/>
          <w:szCs w:val="24"/>
        </w:rPr>
        <w:t xml:space="preserve">. Вынос цинка с урожаем полевых культур составляет от 75 до 2250 г с 1 га. Входит в состав 30 ферментов, принимает участие в белковом, липоидном, углеводном, фосфорном обмене, биосинтезе витаминов, ростовых веществ, в процессе дыхания, повышает </w:t>
      </w:r>
      <w:proofErr w:type="spellStart"/>
      <w:r w:rsidRPr="00B65B8D">
        <w:rPr>
          <w:rFonts w:ascii="Times New Roman" w:hAnsi="Times New Roman"/>
          <w:sz w:val="24"/>
          <w:szCs w:val="24"/>
        </w:rPr>
        <w:t>жаро</w:t>
      </w:r>
      <w:proofErr w:type="spellEnd"/>
      <w:r w:rsidRPr="00B65B8D">
        <w:rPr>
          <w:rFonts w:ascii="Times New Roman" w:hAnsi="Times New Roman"/>
          <w:sz w:val="24"/>
          <w:szCs w:val="24"/>
        </w:rPr>
        <w:t>- и морозоустойчивость растений. При недостатке цинка – уменьшается содержание сахарозы и крахмала, увеличивается от 6 до 50 мг на 1 кг сухого вещества. Играет важную роль в формировании органов размножения и плодоношения.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Повышенной чувствительностью к недостатку цинка относятся бобовые многолетние травы, гречиха, кукуруза, свекла, картофель, плодовые. Внешние симптомы недостатка: у злаковых наблюдается </w:t>
      </w:r>
      <w:proofErr w:type="spellStart"/>
      <w:r w:rsidRPr="00B65B8D">
        <w:rPr>
          <w:rFonts w:ascii="Times New Roman" w:hAnsi="Times New Roman"/>
          <w:sz w:val="24"/>
          <w:szCs w:val="24"/>
        </w:rPr>
        <w:t>побеление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или хлороз верхних  листьев, у помидоров – </w:t>
      </w:r>
      <w:proofErr w:type="spellStart"/>
      <w:r w:rsidRPr="00B65B8D">
        <w:rPr>
          <w:rFonts w:ascii="Times New Roman" w:hAnsi="Times New Roman"/>
          <w:sz w:val="24"/>
          <w:szCs w:val="24"/>
        </w:rPr>
        <w:t>мелколистность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 скручивание листовых пластинок.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Цинк увеличивает активность защитной реакции, способен инактивировать токсины грибов и вызывать распад </w:t>
      </w:r>
      <w:proofErr w:type="spellStart"/>
      <w:r w:rsidRPr="00B65B8D">
        <w:rPr>
          <w:rFonts w:ascii="Times New Roman" w:hAnsi="Times New Roman"/>
          <w:sz w:val="24"/>
          <w:szCs w:val="24"/>
        </w:rPr>
        <w:t>мацелия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грибов в тканях растений снижают заболеваемость томатов бурой пятнистостью</w:t>
      </w:r>
      <w:r>
        <w:rPr>
          <w:rFonts w:ascii="Times New Roman" w:hAnsi="Times New Roman"/>
          <w:sz w:val="24"/>
          <w:szCs w:val="24"/>
        </w:rPr>
        <w:t>,</w:t>
      </w:r>
      <w:r w:rsidRPr="00B65B8D">
        <w:rPr>
          <w:rFonts w:ascii="Times New Roman" w:hAnsi="Times New Roman"/>
          <w:sz w:val="24"/>
          <w:szCs w:val="24"/>
        </w:rPr>
        <w:t xml:space="preserve"> картофеля к фитофторе.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Черноземы и почвы каштанового комплекса характеризуются очень низким содержанием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: </w:t>
      </w:r>
      <w:r w:rsidRPr="00B65B8D">
        <w:rPr>
          <w:rFonts w:ascii="Times New Roman" w:hAnsi="Times New Roman"/>
          <w:sz w:val="24"/>
          <w:szCs w:val="24"/>
        </w:rPr>
        <w:lastRenderedPageBreak/>
        <w:t xml:space="preserve">валовое – 24 – 90 мг/т почвы, подвижных форм – 2 – 10 мг/кг почвы (10 – 15 % от валового содержания). Растения начинают нуждаются  в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при содержании в черноземах менее 0,3 – 2,0 и менее 1,4 – 1,8 мг/кг почвы. В крае от 0,4 до 0,9 мг/кг почвы цинка.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С увеличением рН почвенного раствора концентрация подвижных форм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снижается. Отмечается антагонизм между содержанием в почве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и Р, Мо и </w:t>
      </w:r>
      <w:proofErr w:type="spellStart"/>
      <w:r w:rsidRPr="00B65B8D">
        <w:rPr>
          <w:rFonts w:ascii="Times New Roman" w:hAnsi="Times New Roman"/>
          <w:sz w:val="24"/>
          <w:szCs w:val="24"/>
        </w:rPr>
        <w:t>Сu</w:t>
      </w:r>
      <w:proofErr w:type="spellEnd"/>
      <w:r w:rsidRPr="00B65B8D">
        <w:rPr>
          <w:rFonts w:ascii="Times New Roman" w:hAnsi="Times New Roman"/>
          <w:sz w:val="24"/>
          <w:szCs w:val="24"/>
        </w:rPr>
        <w:t>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Внесение </w:t>
      </w:r>
      <w:proofErr w:type="spellStart"/>
      <w:r w:rsidRPr="00B65B8D">
        <w:rPr>
          <w:rFonts w:ascii="Times New Roman" w:hAnsi="Times New Roman"/>
          <w:sz w:val="24"/>
          <w:szCs w:val="24"/>
        </w:rPr>
        <w:t>Zn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удобрений повышает урожай зерна кукурузы на 5 – 7 ц/га, зерна пшеницы – на 1,5 – 2 ц/га. цинковые удобрения применяют путем некорневых подкормок растений и предпосевной обработки семян. Для некорневых подкормок на 1 га посева используют 100 г ZnSO4 (25 %)  для подкормки озимой пшеницы и пропашных культур. Подкормку проводят в период </w:t>
      </w:r>
      <w:proofErr w:type="spellStart"/>
      <w:r w:rsidRPr="00B65B8D">
        <w:rPr>
          <w:rFonts w:ascii="Times New Roman" w:hAnsi="Times New Roman"/>
          <w:sz w:val="24"/>
          <w:szCs w:val="24"/>
        </w:rPr>
        <w:t>бутонизации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– цветения растений.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Для предпосевного опудривания 1 т семян используют 30 – 80 г сернокислого цинка и 200 – 400 г талька, цинковые микроудобрения, расходуя 14 семян 400 – 500 г препарата.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4C4E71">
        <w:rPr>
          <w:rFonts w:ascii="Times New Roman" w:hAnsi="Times New Roman"/>
          <w:sz w:val="24"/>
          <w:szCs w:val="24"/>
          <w:u w:val="single"/>
        </w:rPr>
        <w:t>Молибден.</w:t>
      </w:r>
      <w:r w:rsidRPr="00B65B8D">
        <w:rPr>
          <w:rFonts w:ascii="Times New Roman" w:hAnsi="Times New Roman"/>
          <w:sz w:val="24"/>
          <w:szCs w:val="24"/>
        </w:rPr>
        <w:t xml:space="preserve">  Содержание элемента в растениях колеблется в пределах 0,1 – 300 мг/кг сухой массы. содержание Мо в количестве 1 г/кг сухой массы с.-х. продукции вредно для  здоровья человека и животных.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Способствует биологической фиксации азота атмосферы, положительно влияет на фосфоритный и углеводный обмен, на синтез хлорофилла, каротина, нуклеиновой кислот. При резком дефиците Мо тормозится рост растений, не развиваются клубеньки на корнях, растение приобретает бледно зеленую окраску, листовые пластинки деформируются и листья преждевременно отмирают. Мо снижает поражение растений ржавчиной, головней.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Особенно чувствительны к недостатку молибдена люцерна, соя, горох, корнеплоды, капуста, рапс и др. культуры.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>Черноземы и почвы каштанового комплекса юга России  характеризуется очень низким содержанием молибдена – валовое колеблется в пределах 0,2 – 2,4 мг/кг почвы, подвижных форм – 0,1 – 0,27 мг/кг почвы. Растения начинают нуждаться в элементе при содержании менее 0,15 – 0,3 и менее 0,2 – 0,55 мг/кг почвы. Растения начинают нуждаться в элементе при содержании менее 0,15 – 0,3 и менее 0,2 – 0,55 мг/кг почвы соответственно. Мо в органической части почвы содержится в несколько раз больше, чем в минеральной.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Количество водорастворимых форм Мо при повышении щелочности почвенного раствора начинает снижаться </w:t>
      </w:r>
      <w:proofErr w:type="spellStart"/>
      <w:r w:rsidRPr="00B65B8D">
        <w:rPr>
          <w:rFonts w:ascii="Times New Roman" w:hAnsi="Times New Roman"/>
          <w:sz w:val="24"/>
          <w:szCs w:val="24"/>
        </w:rPr>
        <w:t>вследствии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увеличения количества </w:t>
      </w:r>
      <w:proofErr w:type="spellStart"/>
      <w:r w:rsidRPr="00B65B8D">
        <w:rPr>
          <w:rFonts w:ascii="Times New Roman" w:hAnsi="Times New Roman"/>
          <w:sz w:val="24"/>
          <w:szCs w:val="24"/>
        </w:rPr>
        <w:t>молибдатов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кальция Мо  увеличивает поглощение NH4, фосфора, калия из почвы и удобрений.</w:t>
      </w:r>
    </w:p>
    <w:p w:rsidR="00C80B46" w:rsidRPr="00B65B8D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B65B8D">
        <w:rPr>
          <w:rFonts w:ascii="Times New Roman" w:hAnsi="Times New Roman"/>
          <w:sz w:val="24"/>
          <w:szCs w:val="24"/>
        </w:rPr>
        <w:t xml:space="preserve">Средняя прибавка урожая зерна гороха от применения молибдена составляет 2 – 3 ц/га, сена бобовых трав – 7 – 10 ц/кг Мо удобрения применяют путем обработки семян, некорневой подкормки растений и внесения в почву. Наиболее распространен </w:t>
      </w:r>
      <w:proofErr w:type="spellStart"/>
      <w:r w:rsidRPr="00B65B8D">
        <w:rPr>
          <w:rFonts w:ascii="Times New Roman" w:hAnsi="Times New Roman"/>
          <w:sz w:val="24"/>
          <w:szCs w:val="24"/>
        </w:rPr>
        <w:t>молибдат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аммония – мелкокристаллическая соль белого цвета (50 %), </w:t>
      </w:r>
      <w:proofErr w:type="spellStart"/>
      <w:r w:rsidRPr="00B65B8D">
        <w:rPr>
          <w:rFonts w:ascii="Times New Roman" w:hAnsi="Times New Roman"/>
          <w:sz w:val="24"/>
          <w:szCs w:val="24"/>
        </w:rPr>
        <w:t>молибденозированный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суперфосфат, </w:t>
      </w:r>
      <w:proofErr w:type="spellStart"/>
      <w:r w:rsidRPr="00B65B8D">
        <w:rPr>
          <w:rFonts w:ascii="Times New Roman" w:hAnsi="Times New Roman"/>
          <w:sz w:val="24"/>
          <w:szCs w:val="24"/>
        </w:rPr>
        <w:t>грануллированный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(Р – 18 – 20 и 0,1 – 0,2 % Мо). В почву и в рядки с семенами вносят молибден суперфосфат из расчета 50 кг/га. семена обрабатывают </w:t>
      </w:r>
      <w:proofErr w:type="spellStart"/>
      <w:r w:rsidRPr="00B65B8D">
        <w:rPr>
          <w:rFonts w:ascii="Times New Roman" w:hAnsi="Times New Roman"/>
          <w:sz w:val="24"/>
          <w:szCs w:val="24"/>
        </w:rPr>
        <w:t>молибденкислым</w:t>
      </w:r>
      <w:proofErr w:type="spellEnd"/>
      <w:r w:rsidRPr="00B65B8D">
        <w:rPr>
          <w:rFonts w:ascii="Times New Roman" w:hAnsi="Times New Roman"/>
          <w:sz w:val="24"/>
          <w:szCs w:val="24"/>
        </w:rPr>
        <w:t xml:space="preserve"> аммонием 50 г/ц семян. Для опрыскивания во время вегетации используют из расчета 200 – 300 г/га.</w:t>
      </w:r>
    </w:p>
    <w:p w:rsidR="00C80B46" w:rsidRPr="005E2C52" w:rsidRDefault="00C80B46" w:rsidP="00B65B8D">
      <w:pPr>
        <w:pStyle w:val="a8"/>
        <w:widowControl w:val="0"/>
        <w:ind w:firstLine="709"/>
        <w:rPr>
          <w:rFonts w:ascii="Times New Roman" w:hAnsi="Times New Roman"/>
          <w:sz w:val="24"/>
          <w:szCs w:val="24"/>
        </w:rPr>
      </w:pPr>
    </w:p>
    <w:sectPr w:rsidR="00C80B46" w:rsidRPr="005E2C52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ECF"/>
    <w:multiLevelType w:val="singleLevel"/>
    <w:tmpl w:val="BAAC06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AA80DAD"/>
    <w:multiLevelType w:val="hybridMultilevel"/>
    <w:tmpl w:val="A42EE420"/>
    <w:lvl w:ilvl="0" w:tplc="152A68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F5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9D2F8A"/>
    <w:multiLevelType w:val="hybridMultilevel"/>
    <w:tmpl w:val="2CE6BDC0"/>
    <w:lvl w:ilvl="0" w:tplc="73620586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>
    <w:nsid w:val="1B1D4F5E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7">
    <w:nsid w:val="266F3C46"/>
    <w:multiLevelType w:val="singleLevel"/>
    <w:tmpl w:val="FC74AA96"/>
    <w:lvl w:ilvl="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cs="Times New Roman" w:hint="default"/>
        <w:b/>
      </w:rPr>
    </w:lvl>
  </w:abstractNum>
  <w:abstractNum w:abstractNumId="8">
    <w:nsid w:val="35316629"/>
    <w:multiLevelType w:val="hybridMultilevel"/>
    <w:tmpl w:val="DFE2853A"/>
    <w:lvl w:ilvl="0" w:tplc="9F04E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AA263D"/>
    <w:multiLevelType w:val="hybridMultilevel"/>
    <w:tmpl w:val="8196E5EE"/>
    <w:lvl w:ilvl="0" w:tplc="11C633EE">
      <w:start w:val="17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0">
    <w:nsid w:val="3C1B09E5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1">
    <w:nsid w:val="3CF95CA6"/>
    <w:multiLevelType w:val="multilevel"/>
    <w:tmpl w:val="82CEAA7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2FC460A"/>
    <w:multiLevelType w:val="hybridMultilevel"/>
    <w:tmpl w:val="112AC4A4"/>
    <w:lvl w:ilvl="0" w:tplc="C48EF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D7719A"/>
    <w:multiLevelType w:val="multilevel"/>
    <w:tmpl w:val="08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DB7D3B"/>
    <w:multiLevelType w:val="singleLevel"/>
    <w:tmpl w:val="299CB1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5">
    <w:nsid w:val="7A9859B9"/>
    <w:multiLevelType w:val="singleLevel"/>
    <w:tmpl w:val="B59E244E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6">
    <w:nsid w:val="7D7721D8"/>
    <w:multiLevelType w:val="singleLevel"/>
    <w:tmpl w:val="158E52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A2"/>
    <w:rsid w:val="00020D8E"/>
    <w:rsid w:val="0003280D"/>
    <w:rsid w:val="00040B81"/>
    <w:rsid w:val="000760C8"/>
    <w:rsid w:val="00091942"/>
    <w:rsid w:val="000970A0"/>
    <w:rsid w:val="000A5CEE"/>
    <w:rsid w:val="001375B4"/>
    <w:rsid w:val="00147498"/>
    <w:rsid w:val="001736BE"/>
    <w:rsid w:val="001921C1"/>
    <w:rsid w:val="001A13C9"/>
    <w:rsid w:val="001E2A88"/>
    <w:rsid w:val="001F35D3"/>
    <w:rsid w:val="00206480"/>
    <w:rsid w:val="002148B7"/>
    <w:rsid w:val="00242A0A"/>
    <w:rsid w:val="00253056"/>
    <w:rsid w:val="00262804"/>
    <w:rsid w:val="00284C20"/>
    <w:rsid w:val="00286669"/>
    <w:rsid w:val="002867C0"/>
    <w:rsid w:val="002E280E"/>
    <w:rsid w:val="002F7834"/>
    <w:rsid w:val="0032546E"/>
    <w:rsid w:val="00334697"/>
    <w:rsid w:val="00334C65"/>
    <w:rsid w:val="00346980"/>
    <w:rsid w:val="00346E43"/>
    <w:rsid w:val="00381ED7"/>
    <w:rsid w:val="003C029C"/>
    <w:rsid w:val="00402AE8"/>
    <w:rsid w:val="004202DD"/>
    <w:rsid w:val="00427DA5"/>
    <w:rsid w:val="00433874"/>
    <w:rsid w:val="00453CCC"/>
    <w:rsid w:val="00460E9D"/>
    <w:rsid w:val="004B48CF"/>
    <w:rsid w:val="004B51BF"/>
    <w:rsid w:val="004C4E71"/>
    <w:rsid w:val="004E6103"/>
    <w:rsid w:val="00503F2A"/>
    <w:rsid w:val="0052369A"/>
    <w:rsid w:val="005260AB"/>
    <w:rsid w:val="00527DFF"/>
    <w:rsid w:val="00544747"/>
    <w:rsid w:val="005741CF"/>
    <w:rsid w:val="0059322F"/>
    <w:rsid w:val="005C692C"/>
    <w:rsid w:val="005C7F47"/>
    <w:rsid w:val="005E2C52"/>
    <w:rsid w:val="005F4257"/>
    <w:rsid w:val="00620D74"/>
    <w:rsid w:val="0065390B"/>
    <w:rsid w:val="006E627B"/>
    <w:rsid w:val="006F11C8"/>
    <w:rsid w:val="00720FF4"/>
    <w:rsid w:val="007435D7"/>
    <w:rsid w:val="00761B78"/>
    <w:rsid w:val="0077113F"/>
    <w:rsid w:val="00795145"/>
    <w:rsid w:val="007A4037"/>
    <w:rsid w:val="007D3894"/>
    <w:rsid w:val="007E7CF5"/>
    <w:rsid w:val="00803E16"/>
    <w:rsid w:val="00813408"/>
    <w:rsid w:val="00815EC1"/>
    <w:rsid w:val="00851F90"/>
    <w:rsid w:val="00860E7C"/>
    <w:rsid w:val="00874217"/>
    <w:rsid w:val="008802EF"/>
    <w:rsid w:val="008A4DFD"/>
    <w:rsid w:val="008F06D0"/>
    <w:rsid w:val="009122DA"/>
    <w:rsid w:val="00916571"/>
    <w:rsid w:val="00932878"/>
    <w:rsid w:val="00962B67"/>
    <w:rsid w:val="0097752D"/>
    <w:rsid w:val="009830B1"/>
    <w:rsid w:val="009924E6"/>
    <w:rsid w:val="00997BF9"/>
    <w:rsid w:val="009A1595"/>
    <w:rsid w:val="009B16AE"/>
    <w:rsid w:val="009B53E6"/>
    <w:rsid w:val="009E4FBB"/>
    <w:rsid w:val="009E65A2"/>
    <w:rsid w:val="009F3DA9"/>
    <w:rsid w:val="00A035C4"/>
    <w:rsid w:val="00A05D0C"/>
    <w:rsid w:val="00A55C6C"/>
    <w:rsid w:val="00A828A9"/>
    <w:rsid w:val="00A95782"/>
    <w:rsid w:val="00AA4EA4"/>
    <w:rsid w:val="00AB56C8"/>
    <w:rsid w:val="00AE72C6"/>
    <w:rsid w:val="00B33774"/>
    <w:rsid w:val="00B346F0"/>
    <w:rsid w:val="00B65B8D"/>
    <w:rsid w:val="00B83916"/>
    <w:rsid w:val="00BA08F0"/>
    <w:rsid w:val="00BA7F87"/>
    <w:rsid w:val="00BF6029"/>
    <w:rsid w:val="00C10A88"/>
    <w:rsid w:val="00C33667"/>
    <w:rsid w:val="00C508BD"/>
    <w:rsid w:val="00C6644C"/>
    <w:rsid w:val="00C80B46"/>
    <w:rsid w:val="00CB6062"/>
    <w:rsid w:val="00CD026A"/>
    <w:rsid w:val="00CF0C5B"/>
    <w:rsid w:val="00CF358D"/>
    <w:rsid w:val="00D10CC4"/>
    <w:rsid w:val="00D1164B"/>
    <w:rsid w:val="00D47E86"/>
    <w:rsid w:val="00D518D1"/>
    <w:rsid w:val="00D8595D"/>
    <w:rsid w:val="00D97DA0"/>
    <w:rsid w:val="00DF5043"/>
    <w:rsid w:val="00E20F50"/>
    <w:rsid w:val="00E70C34"/>
    <w:rsid w:val="00E75C92"/>
    <w:rsid w:val="00EC7D4F"/>
    <w:rsid w:val="00ED3B02"/>
    <w:rsid w:val="00EE1D5C"/>
    <w:rsid w:val="00F02833"/>
    <w:rsid w:val="00F3547C"/>
    <w:rsid w:val="00F540C9"/>
    <w:rsid w:val="00F57556"/>
    <w:rsid w:val="00F67A03"/>
    <w:rsid w:val="00F95847"/>
    <w:rsid w:val="00FA393C"/>
    <w:rsid w:val="00FB5E0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1736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736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1736B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736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_ТАБ_НАИМЕН_"/>
    <w:basedOn w:val="a0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5">
    <w:name w:val="_ТАБ_ШАПКА_"/>
    <w:basedOn w:val="a0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6">
    <w:name w:val="_ТАБ_НОМЕР_"/>
    <w:basedOn w:val="a0"/>
    <w:next w:val="a4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a0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7">
    <w:name w:val="_СПИСОК_"/>
    <w:basedOn w:val="a0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8">
    <w:name w:val="_АБЗАЦ_КНИГИ_"/>
    <w:basedOn w:val="a0"/>
    <w:uiPriority w:val="99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a9">
    <w:name w:val="List Paragraph"/>
    <w:basedOn w:val="a0"/>
    <w:uiPriority w:val="99"/>
    <w:qFormat/>
    <w:rsid w:val="009E65A2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uiPriority w:val="99"/>
    <w:rsid w:val="001F35D3"/>
    <w:rPr>
      <w:rFonts w:cs="Times New Roman"/>
    </w:rPr>
  </w:style>
  <w:style w:type="character" w:customStyle="1" w:styleId="submenu-table">
    <w:name w:val="submenu-table"/>
    <w:uiPriority w:val="99"/>
    <w:rsid w:val="001F35D3"/>
    <w:rPr>
      <w:rFonts w:cs="Times New Roman"/>
    </w:rPr>
  </w:style>
  <w:style w:type="paragraph" w:styleId="aa">
    <w:name w:val="Normal (Web)"/>
    <w:basedOn w:val="a0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a0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0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d">
    <w:name w:val="Title"/>
    <w:basedOn w:val="a0"/>
    <w:link w:val="ae"/>
    <w:uiPriority w:val="99"/>
    <w:qFormat/>
    <w:rsid w:val="00460E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460E9D"/>
    <w:rPr>
      <w:rFonts w:ascii="Times New Roman" w:hAnsi="Times New Roman" w:cs="Times New Roman"/>
      <w:b/>
      <w:sz w:val="20"/>
      <w:szCs w:val="20"/>
    </w:rPr>
  </w:style>
  <w:style w:type="paragraph" w:styleId="af">
    <w:name w:val="Body Text Indent"/>
    <w:basedOn w:val="a0"/>
    <w:link w:val="af0"/>
    <w:uiPriority w:val="99"/>
    <w:semiHidden/>
    <w:rsid w:val="001736B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1736BE"/>
    <w:rPr>
      <w:rFonts w:cs="Times New Roman"/>
    </w:rPr>
  </w:style>
  <w:style w:type="paragraph" w:customStyle="1" w:styleId="FR1">
    <w:name w:val="FR1"/>
    <w:uiPriority w:val="99"/>
    <w:rsid w:val="009924E6"/>
    <w:pPr>
      <w:widowControl w:val="0"/>
      <w:spacing w:before="260"/>
      <w:ind w:left="80"/>
      <w:jc w:val="center"/>
    </w:pPr>
    <w:rPr>
      <w:rFonts w:ascii="Arial" w:hAnsi="Arial"/>
      <w:b/>
      <w:sz w:val="16"/>
    </w:rPr>
  </w:style>
  <w:style w:type="paragraph" w:styleId="31">
    <w:name w:val="Body Text Indent 3"/>
    <w:basedOn w:val="a0"/>
    <w:link w:val="32"/>
    <w:uiPriority w:val="99"/>
    <w:semiHidden/>
    <w:rsid w:val="00B65B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65B8D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St</cp:lastModifiedBy>
  <cp:revision>31</cp:revision>
  <cp:lastPrinted>2016-11-08T07:16:00Z</cp:lastPrinted>
  <dcterms:created xsi:type="dcterms:W3CDTF">2013-03-27T08:47:00Z</dcterms:created>
  <dcterms:modified xsi:type="dcterms:W3CDTF">2016-11-08T07:17:00Z</dcterms:modified>
</cp:coreProperties>
</file>